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3-YEAR EXIT PLANNING CHECKLIST</w:t>
      </w:r>
    </w:p>
    <w:p>
      <w:r>
        <w:rPr>
          <w:i/>
        </w:rPr>
        <w:t>For trade and practice owners - tick items off year by year</w:t>
      </w:r>
    </w:p>
    <w:p>
      <w:pPr>
        <w:spacing w:before="160"/>
      </w:pPr>
      <w:r>
        <w:rPr>
          <w:b/>
          <w:color w:val="1F3A4D"/>
          <w:sz w:val="23"/>
        </w:rPr>
        <w:t>3-5 years out</w:t>
      </w:r>
    </w:p>
    <w:p>
      <w:pPr>
        <w:pStyle w:val="ListBullet"/>
      </w:pPr>
      <w:r>
        <w:t>[  ] Get a baseline value range (valuation calculator) and recast earnings to SDE</w:t>
      </w:r>
    </w:p>
    <w:p>
      <w:pPr>
        <w:pStyle w:val="ListBullet"/>
      </w:pPr>
      <w:r>
        <w:t>[  ] Move to accrual books reviewed by a CPA; separate personal expenses</w:t>
      </w:r>
    </w:p>
    <w:p>
      <w:pPr>
        <w:pStyle w:val="ListBullet"/>
      </w:pPr>
      <w:r>
        <w:t>[  ] Update or create the buy-sell / partnership agreement</w:t>
      </w:r>
    </w:p>
    <w:p>
      <w:pPr>
        <w:pStyle w:val="ListBullet"/>
      </w:pPr>
      <w:r>
        <w:t>[  ] Start building a management layer (operations lead, office manager)</w:t>
      </w:r>
    </w:p>
    <w:p>
      <w:pPr>
        <w:pStyle w:val="ListBullet"/>
      </w:pPr>
      <w:r>
        <w:t>[  ] List every license, permit and registration and who holds it</w:t>
      </w:r>
    </w:p>
    <w:p>
      <w:pPr>
        <w:spacing w:before="160"/>
      </w:pPr>
      <w:r>
        <w:rPr>
          <w:b/>
          <w:color w:val="1F3A4D"/>
          <w:sz w:val="23"/>
        </w:rPr>
        <w:t>2-3 years out</w:t>
      </w:r>
    </w:p>
    <w:p>
      <w:pPr>
        <w:pStyle w:val="ListBullet"/>
      </w:pPr>
      <w:r>
        <w:t>[  ] Grow recurring revenue: maintenance agreements, service contracts, memberships, hygiene recall</w:t>
      </w:r>
    </w:p>
    <w:p>
      <w:pPr>
        <w:pStyle w:val="ListBullet"/>
      </w:pPr>
      <w:r>
        <w:t>[  ] Reduce customer concentration: no customer above about 15% of revenue</w:t>
      </w:r>
    </w:p>
    <w:p>
      <w:pPr>
        <w:pStyle w:val="ListBullet"/>
      </w:pPr>
      <w:r>
        <w:t>[  ] Get key licenses held by more than one person</w:t>
      </w:r>
    </w:p>
    <w:p>
      <w:pPr>
        <w:pStyle w:val="ListBullet"/>
      </w:pPr>
      <w:r>
        <w:t>[  ] Cut owner hours in the field or chair; document how jobs are sold, scheduled and done</w:t>
      </w:r>
    </w:p>
    <w:p>
      <w:pPr>
        <w:pStyle w:val="ListBullet"/>
      </w:pPr>
      <w:r>
        <w:t>[  ] Put key employees on written agreements; consider retention bonuses tied to a sale</w:t>
      </w:r>
    </w:p>
    <w:p>
      <w:pPr>
        <w:spacing w:before="160"/>
      </w:pPr>
      <w:r>
        <w:rPr>
          <w:b/>
          <w:color w:val="1F3A4D"/>
          <w:sz w:val="23"/>
        </w:rPr>
        <w:t>12-24 months out</w:t>
      </w:r>
    </w:p>
    <w:p>
      <w:pPr>
        <w:pStyle w:val="ListBullet"/>
      </w:pPr>
      <w:r>
        <w:t>[  ] Two clean years of financials (reviewed or audited if buyers at your size expect it)</w:t>
      </w:r>
    </w:p>
    <w:p>
      <w:pPr>
        <w:pStyle w:val="ListBullet"/>
      </w:pPr>
      <w:r>
        <w:t>[  ] Choose the route: family, key employees, ESOP, outside buyer / PE</w:t>
      </w:r>
    </w:p>
    <w:p>
      <w:pPr>
        <w:pStyle w:val="ListBullet"/>
      </w:pPr>
      <w:r>
        <w:t>[  ] Model taxes and net proceeds (after-tax proceeds calculator; then your CPA)</w:t>
      </w:r>
    </w:p>
    <w:p>
      <w:pPr>
        <w:pStyle w:val="ListBullet"/>
      </w:pPr>
      <w:r>
        <w:t>[  ] Review leases, vehicle loans, equipment financing and contracts for change-of-control clauses</w:t>
      </w:r>
    </w:p>
    <w:p>
      <w:pPr>
        <w:pStyle w:val="ListBullet"/>
      </w:pPr>
      <w:r>
        <w:t>[  ] Clean up the equipment list, fleet records and any open legal or tax issues</w:t>
      </w:r>
    </w:p>
    <w:p>
      <w:pPr>
        <w:spacing w:before="160"/>
      </w:pPr>
      <w:r>
        <w:rPr>
          <w:b/>
          <w:color w:val="1F3A4D"/>
          <w:sz w:val="23"/>
        </w:rPr>
        <w:t>6-12 months out</w:t>
      </w:r>
    </w:p>
    <w:p>
      <w:pPr>
        <w:pStyle w:val="ListBullet"/>
      </w:pPr>
      <w:r>
        <w:t>[  ] Assemble the data room: 3 years of financials and tax returns, customer and revenue reports, employee roster, licenses, contracts, leases</w:t>
      </w:r>
    </w:p>
    <w:p>
      <w:pPr>
        <w:pStyle w:val="ListBullet"/>
      </w:pPr>
      <w:r>
        <w:t>[  ] Choose advisers: broker / M&amp;A adviser or DIY; M&amp;A attorney; CPA</w:t>
      </w:r>
    </w:p>
    <w:p>
      <w:pPr>
        <w:pStyle w:val="ListBullet"/>
      </w:pPr>
      <w:r>
        <w:t>[  ] Set your walk-away number and non-negotiables (role, term, people)</w:t>
      </w:r>
    </w:p>
    <w:p>
      <w:pPr>
        <w:pStyle w:val="ListBullet"/>
      </w:pPr>
      <w:r>
        <w:t>[  ] Go to market; expect 6-10 months to close for Main Street deals (IBBA Q2 2026)</w:t>
      </w:r>
    </w:p>
    <w:p>
      <w:pPr>
        <w:spacing w:before="160"/>
      </w:pPr>
      <w:r>
        <w:rPr>
          <w:b/>
          <w:color w:val="1F3A4D"/>
          <w:sz w:val="23"/>
        </w:rPr>
        <w:t>Your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Target sale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Walk-away number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Preferred route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Role after sale (and for how long)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Advisers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r>
        <w:rPr>
          <w:i/>
          <w:sz w:val="18"/>
        </w:rPr>
        <w:t>General information, not legal, tax or investment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