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ACCOUNTING / CPA FIRM SALE-PREP CHECKLIST</w:t>
      </w:r>
    </w:p>
    <w:p>
      <w:r>
        <w:rPr>
          <w:i/>
        </w:rPr>
        <w:t>Licenses, documents and fixes buyers look for when you sell a accounting firm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accounting firm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accounting firms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CPA ownership rules</w:t>
            </w:r>
          </w:p>
        </w:tc>
        <w:tc>
          <w:tcPr>
            <w:tcW w:type="dxa" w:w="6624"/>
          </w:tcPr>
          <w:p>
            <w:r>
              <w:t>Under the Uniform Accountancy Act model, a majority of a CPA firm's ownership (financial interests and voting rights) must be held by CPAs. PE deals keep the attest firm CPA-owned and sell the non-attest business.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Client tax information</w:t>
            </w:r>
          </w:p>
        </w:tc>
        <w:tc>
          <w:tcPr>
            <w:tcW w:type="dxa" w:w="6624"/>
          </w:tcPr>
          <w:p>
            <w:r>
              <w:t>IRS rules (26 CFR 301.7216-2) allow limited transfer of client lists in connection with the sale of a tax practice, and pre-sale diligence under a written confidentiality agreement. Get client consent where required.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Firm permit</w:t>
            </w:r>
          </w:p>
        </w:tc>
        <w:tc>
          <w:tcPr>
            <w:tcW w:type="dxa" w:w="6624"/>
          </w:tcPr>
          <w:p>
            <w:r>
              <w:t>State boards require firm registration or permits; a new owner or entity may need its own permit.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Fees by client and service line for 3 years</w:t>
      </w:r>
    </w:p>
    <w:p>
      <w:pPr>
        <w:pStyle w:val="ListBullet"/>
      </w:pPr>
      <w:r>
        <w:t>[  ] Client retention history</w:t>
      </w:r>
    </w:p>
    <w:p>
      <w:pPr>
        <w:pStyle w:val="ListBullet"/>
      </w:pPr>
      <w:r>
        <w:t>[  ] Engagement letters</w:t>
      </w:r>
    </w:p>
    <w:p>
      <w:pPr>
        <w:pStyle w:val="ListBullet"/>
      </w:pPr>
      <w:r>
        <w:t>[  ] Staff roster and credentials</w:t>
      </w:r>
    </w:p>
    <w:p>
      <w:pPr>
        <w:pStyle w:val="ListBullet"/>
      </w:pPr>
      <w:r>
        <w:t>[  ] Software and workflow stack</w:t>
      </w:r>
    </w:p>
    <w:p>
      <w:pPr>
        <w:pStyle w:val="ListBullet"/>
      </w:pPr>
      <w:r>
        <w:t>[  ] Peer review report (if attest work)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Small-firm deals frequently pay part of the price over time and adjust it for client retention; PE platforms pay cash plus equity through an alternative practice structure.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Sellers usually time closings around tax season; transitions commonly run through at least one full season.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