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CAR WASH SALE-PREP CHECKLIST</w:t>
      </w:r>
    </w:p>
    <w:p>
      <w:r>
        <w:rPr>
          <w:i/>
        </w:rPr>
        <w:t>Licenses, documents and fixes buyers look for when you sell a car wash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car wash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car washes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Environmental review</w:t>
            </w:r>
          </w:p>
        </w:tc>
        <w:tc>
          <w:tcPr>
            <w:tcW w:type="dxa" w:w="6624"/>
          </w:tcPr>
          <w:p>
            <w:r>
              <w:t>Lenders typically require a Phase I environmental site assessment on real estate; EPA recognizes ASTM E1527-21 as satisfying federal "all appropriate inquiries."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Water discharge and permits</w:t>
            </w:r>
          </w:p>
        </w:tc>
        <w:tc>
          <w:tcPr>
            <w:tcW w:type="dxa" w:w="6624"/>
          </w:tcPr>
          <w:p>
            <w:r>
              <w:t>Wastewater and sewer permits may need to be transferred or reissued; confirm with the local utility and state agency.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Membership counts and churn</w:t>
      </w:r>
    </w:p>
    <w:p>
      <w:pPr>
        <w:pStyle w:val="ListBullet"/>
      </w:pPr>
      <w:r>
        <w:t>[  ] Cars washed per month</w:t>
      </w:r>
    </w:p>
    <w:p>
      <w:pPr>
        <w:pStyle w:val="ListBullet"/>
      </w:pPr>
      <w:r>
        <w:t>[  ] Equipment list and service records</w:t>
      </w:r>
    </w:p>
    <w:p>
      <w:pPr>
        <w:pStyle w:val="ListBullet"/>
      </w:pPr>
      <w:r>
        <w:t>[  ] Real estate documents or lease</w:t>
      </w:r>
    </w:p>
    <w:p>
      <w:pPr>
        <w:pStyle w:val="ListBullet"/>
      </w:pPr>
      <w:r>
        <w:t>[  ] Environmental reports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Many express-wash sales split the operating business from the land through a sale-leaseback; individual buyers use SBA or conventional financing.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Deals with real estate take longer: environmental review, appraisal and lender approval add weeks.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