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CONSTRUCTION COMPANY SALE-PREP CHECKLIST</w:t>
      </w:r>
    </w:p>
    <w:p>
      <w:r>
        <w:rPr>
          <w:i/>
        </w:rPr>
        <w:t>Licenses, documents and fixes buyers look for when you sell a construction company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construction company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construction companies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State contractor license</w:t>
            </w:r>
          </w:p>
        </w:tc>
        <w:tc>
          <w:tcPr>
            <w:tcW w:type="dxa" w:w="6624"/>
          </w:tcPr>
          <w:p>
            <w:r>
              <w:t>Usually tied to the entity and a qualifying individual. In California a license cannot be transferred to a new entity; a new owner or entity applies for its own license, posts new bonds and shows workers' comp coverage.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Qualifier / master license holder</w:t>
            </w:r>
          </w:p>
        </w:tc>
        <w:tc>
          <w:tcPr>
            <w:tcW w:type="dxa" w:w="6624"/>
          </w:tcPr>
          <w:p>
            <w:r>
              <w:t>If you are the qualifier (RMO/RME, master plumber or electrician), the license qualification leaves when you do. The buyer needs a qualified person in place before closing, or you agree to stay on for a transition.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Bonding</w:t>
            </w:r>
          </w:p>
        </w:tc>
        <w:tc>
          <w:tcPr>
            <w:tcW w:type="dxa" w:w="6624"/>
          </w:tcPr>
          <w:p>
            <w:r>
              <w:t>Surety relationships are underwritten on the owner and the company; the buyer needs to carry bonding to keep bonded backlog.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3 years of financials and WIP schedules</w:t>
      </w:r>
    </w:p>
    <w:p>
      <w:pPr>
        <w:pStyle w:val="ListBullet"/>
      </w:pPr>
      <w:r>
        <w:t>[  ] Backlog with margins</w:t>
      </w:r>
    </w:p>
    <w:p>
      <w:pPr>
        <w:pStyle w:val="ListBullet"/>
      </w:pPr>
      <w:r>
        <w:t>[  ] Bonding program details</w:t>
      </w:r>
    </w:p>
    <w:p>
      <w:pPr>
        <w:pStyle w:val="ListBullet"/>
      </w:pPr>
      <w:r>
        <w:t>[  ] Equipment list and appraisal</w:t>
      </w:r>
    </w:p>
    <w:p>
      <w:pPr>
        <w:pStyle w:val="ListBullet"/>
      </w:pPr>
      <w:r>
        <w:t>[  ] Licenses and qualifiers</w:t>
      </w:r>
    </w:p>
    <w:p>
      <w:pPr>
        <w:pStyle w:val="ListBullet"/>
      </w:pPr>
      <w:r>
        <w:t>[  ] Open claims and warranty items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Price is often split between goodwill and equipment; buyers review work-in-progress and may hold back part of the price against job completion or warranty claims.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BizBuySell reports a median 207 days on market for construction businesses sold 2021-2025.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