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DENTAL PRACTICE SALE-PREP CHECKLIST</w:t>
      </w:r>
    </w:p>
    <w:p>
      <w:r>
        <w:rPr>
          <w:i/>
        </w:rPr>
        <w:t>Licenses, documents and fixes buyers look for when you sell a dental practice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dental practice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dental practices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Corporate practice of dentistry</w:t>
            </w:r>
          </w:p>
        </w:tc>
        <w:tc>
          <w:tcPr>
            <w:tcW w:type="dxa" w:w="6624"/>
          </w:tcPr>
          <w:p>
            <w:r>
              <w:t>Many states restrict who may own a dental practice. Texas, for example, treats owning or operating a dental office that employs dentists as the practice of dentistry, so DSOs use management-services structures while a dentist owns the clinical entity.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DEA registration</w:t>
            </w:r>
          </w:p>
        </w:tc>
        <w:tc>
          <w:tcPr>
            <w:tcW w:type="dxa" w:w="6624"/>
          </w:tcPr>
          <w:p>
            <w:r>
              <w:t>Not transferable without DEA's written consent (21 CFR 1301.52). The buying dentist registers separately; controlled-substance inventory and records transfer under DEA procedures.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Patient records</w:t>
            </w:r>
          </w:p>
        </w:tc>
        <w:tc>
          <w:tcPr>
            <w:tcW w:type="dxa" w:w="6624"/>
          </w:tcPr>
          <w:p>
            <w:r>
              <w:t>HIPAA treats the sale of a practice to another covered entity, and due diligence for it, as "health care operations," so records can be reviewed and transferred within the Privacy Rule's limits.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Payer contracts and credentialing</w:t>
            </w:r>
          </w:p>
        </w:tc>
        <w:tc>
          <w:tcPr>
            <w:tcW w:type="dxa" w:w="6624"/>
          </w:tcPr>
          <w:p>
            <w:r>
              <w:t>PPO participation is personal to the provider/entity. Buyers re-credential or take assignment where contracts allow; gaps here can interrupt collections after closing.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3 years of tax returns and P&amp;Ls</w:t>
      </w:r>
    </w:p>
    <w:p>
      <w:pPr>
        <w:pStyle w:val="ListBullet"/>
      </w:pPr>
      <w:r>
        <w:t>[  ] Production and collections by provider and by procedure code</w:t>
      </w:r>
    </w:p>
    <w:p>
      <w:pPr>
        <w:pStyle w:val="ListBullet"/>
      </w:pPr>
      <w:r>
        <w:t>[  ] Hygiene production, recall and active-patient reports</w:t>
      </w:r>
    </w:p>
    <w:p>
      <w:pPr>
        <w:pStyle w:val="ListBullet"/>
      </w:pPr>
      <w:r>
        <w:t>[  ] Payer mix and fee schedules</w:t>
      </w:r>
    </w:p>
    <w:p>
      <w:pPr>
        <w:pStyle w:val="ListBullet"/>
      </w:pPr>
      <w:r>
        <w:t>[  ] Office lease and any assignment clause</w:t>
      </w:r>
    </w:p>
    <w:p>
      <w:pPr>
        <w:pStyle w:val="ListBullet"/>
      </w:pPr>
      <w:r>
        <w:t>[  ] Equipment list and ages</w:t>
      </w:r>
    </w:p>
    <w:p>
      <w:pPr>
        <w:pStyle w:val="ListBullet"/>
      </w:pPr>
      <w:r>
        <w:t>[  ] Staff roster, pay and benefits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Private dentist buyers typically pay mostly cash at close from a practice loan, sometimes with a small seller note. DSOs pay a mix of cash and rollover equity plus an employment agreement (often several years), sometimes with earn-out or holdback components.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Plan for 6-12 months from preparation to close for a dentist-to-dentist sale; DSO processes add diligence and a longer post-close employment term.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