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FUNERAL HOME SALE-PREP CHECKLIST</w:t>
      </w:r>
    </w:p>
    <w:p>
      <w:r>
        <w:rPr>
          <w:i/>
        </w:rPr>
        <w:t>Licenses, documents and fixes buyers look for when you sell a funeral home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funeral home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funeral homes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Establishment license (Texas example)</w:t>
            </w:r>
          </w:p>
        </w:tc>
        <w:tc>
          <w:tcPr>
            <w:tcW w:type="dxa" w:w="6624"/>
          </w:tcPr>
          <w:p>
            <w:r>
              <w:t>In Texas a change of ownership is effected by a new license application or a Commission form filed within 30 days; the new owner keeps the license number and its complaint history (22 TAC 203.9).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Preneed contracts</w:t>
            </w:r>
          </w:p>
        </w:tc>
        <w:tc>
          <w:tcPr>
            <w:tcW w:type="dxa" w:w="6624"/>
          </w:tcPr>
          <w:p>
            <w:r>
              <w:t>Preneed trust and insurance-funded contracts transfer with the business and are regulated by the state; buyers audit funding levels.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FTC Funeral Rule</w:t>
            </w:r>
          </w:p>
        </w:tc>
        <w:tc>
          <w:tcPr>
            <w:tcW w:type="dxa" w:w="6624"/>
          </w:tcPr>
          <w:p>
            <w:r>
              <w:t>Buyers review price-list compliance with the FTC Funeral Rule (16 CFR Part 453).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3-5 years of financials</w:t>
      </w:r>
    </w:p>
    <w:p>
      <w:pPr>
        <w:pStyle w:val="ListBullet"/>
      </w:pPr>
      <w:r>
        <w:t>[  ] Call volume by year and service type</w:t>
      </w:r>
    </w:p>
    <w:p>
      <w:pPr>
        <w:pStyle w:val="ListBullet"/>
      </w:pPr>
      <w:r>
        <w:t>[  ] Preneed trust statements and contracts</w:t>
      </w:r>
    </w:p>
    <w:p>
      <w:pPr>
        <w:pStyle w:val="ListBullet"/>
      </w:pPr>
      <w:r>
        <w:t>[  ] Real estate documents</w:t>
      </w:r>
    </w:p>
    <w:p>
      <w:pPr>
        <w:pStyle w:val="ListBullet"/>
      </w:pPr>
      <w:r>
        <w:t>[  ] General price list</w:t>
      </w:r>
    </w:p>
    <w:p>
      <w:pPr>
        <w:pStyle w:val="ListBullet"/>
      </w:pPr>
      <w:r>
        <w:t>[  ] Staff licenses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Real estate is often priced separately; preneed trust and insurance obligations transfer with careful accounting at closing.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BizBuySell reports a median 297 days on market for funeral homes sold 2021-2025, one of the longest of any category.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