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HVAC BUSINESS SALE-PREP CHECKLIST</w:t>
      </w:r>
    </w:p>
    <w:p>
      <w:r>
        <w:rPr>
          <w:i/>
        </w:rPr>
        <w:t>Licenses, documents and fixes buyers look for when you sell a HVAC business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HVAC business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HVAC businesses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State contractor license</w:t>
            </w:r>
          </w:p>
        </w:tc>
        <w:tc>
          <w:tcPr>
            <w:tcW w:type="dxa" w:w="6624"/>
          </w:tcPr>
          <w:p>
            <w:r>
              <w:t>Usually tied to the entity and a qualifying individual. In California a license cannot be transferred to a new entity; a new owner or entity applies for its own license, posts new bonds and shows workers' comp coverage.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Qualifier / master license holder</w:t>
            </w:r>
          </w:p>
        </w:tc>
        <w:tc>
          <w:tcPr>
            <w:tcW w:type="dxa" w:w="6624"/>
          </w:tcPr>
          <w:p>
            <w:r>
              <w:t>If you are the qualifier (RMO/RME, master plumber or electrician), the license qualification leaves when you do. The buyer needs a qualified person in place before closing, or you agree to stay on for a transition.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EPA Section 608</w:t>
            </w:r>
          </w:p>
        </w:tc>
        <w:tc>
          <w:tcPr>
            <w:tcW w:type="dxa" w:w="6624"/>
          </w:tcPr>
          <w:p>
            <w:r>
              <w:t>Refrigerant-handling certification belongs to each technician, not the company. The buyer relies on technicians who stay.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Maintenance agreements</w:t>
            </w:r>
          </w:p>
        </w:tc>
        <w:tc>
          <w:tcPr>
            <w:tcW w:type="dxa" w:w="6624"/>
          </w:tcPr>
          <w:p>
            <w:r>
              <w:t>Check your agreement terms: buyers want memberships that can be assigned and that auto-renew. Non-assignable contracts weaken the recurring-revenue story.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P&amp;Ls and tax returns</w:t>
      </w:r>
    </w:p>
    <w:p>
      <w:pPr>
        <w:pStyle w:val="ListBullet"/>
      </w:pPr>
      <w:r>
        <w:t>[  ] Revenue split: service, replacement, maintenance, new construction</w:t>
      </w:r>
    </w:p>
    <w:p>
      <w:pPr>
        <w:pStyle w:val="ListBullet"/>
      </w:pPr>
      <w:r>
        <w:t>[  ] Maintenance member count, churn and renewal terms</w:t>
      </w:r>
    </w:p>
    <w:p>
      <w:pPr>
        <w:pStyle w:val="ListBullet"/>
      </w:pPr>
      <w:r>
        <w:t>[  ] Technician roster, tenure, pay and certifications</w:t>
      </w:r>
    </w:p>
    <w:p>
      <w:pPr>
        <w:pStyle w:val="ListBullet"/>
      </w:pPr>
      <w:r>
        <w:t>[  ] Fleet and equipment list</w:t>
      </w:r>
    </w:p>
    <w:p>
      <w:pPr>
        <w:pStyle w:val="ListBullet"/>
      </w:pPr>
      <w:r>
        <w:t>[  ] Field-service software reports (average ticket, close rate)</w:t>
      </w:r>
    </w:p>
    <w:p>
      <w:pPr>
        <w:pStyle w:val="ListBullet"/>
      </w:pPr>
      <w:r>
        <w:t>[  ] Licenses held and by whom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Individual buyers usually combine an SBA loan, buyer equity and sometimes a seller note (which, to count toward the SBA equity injection, must sit on full standby). PE platforms pay mostly cash, often with 10-30% rollover equity and sometimes an earn-out.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Main Street deals typically take 6-10 months to close after going to market (IBBA Market Pulse Q2 2026); platform add-ons can move faster once an LOI is signed.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