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INSURANCE AGENCY SALE-PREP CHECKLIST</w:t>
      </w:r>
    </w:p>
    <w:p>
      <w:r>
        <w:rPr>
          <w:i/>
        </w:rPr>
        <w:t>Licenses, documents and fixes buyers look for when you sell a insurance agency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insurance agency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insurance agencies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Agency and producer licenses</w:t>
            </w:r>
          </w:p>
        </w:tc>
        <w:tc>
          <w:tcPr>
            <w:tcW w:type="dxa" w:w="6624"/>
          </w:tcPr>
          <w:p>
            <w:r>
              <w:t>Producer licenses are personal. An agency entity license requires a designated responsible licensed producer under the NAIC uniform business entity application used by states.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Carrier appointments</w:t>
            </w:r>
          </w:p>
        </w:tc>
        <w:tc>
          <w:tcPr>
            <w:tcW w:type="dxa" w:w="6624"/>
          </w:tcPr>
          <w:p>
            <w:r>
              <w:t>Carrier contracts do not automatically move to a buyer; each carrier must agree to appoint the new owner.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Book ownership</w:t>
            </w:r>
          </w:p>
        </w:tc>
        <w:tc>
          <w:tcPr>
            <w:tcW w:type="dxa" w:w="6624"/>
          </w:tcPr>
          <w:p>
            <w:r>
              <w:t>Independent agents typically own their book; captive agents often do not. Confirm what your agent agreement says before valuing anything.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Commission statements by carrier for 3 years</w:t>
      </w:r>
    </w:p>
    <w:p>
      <w:pPr>
        <w:pStyle w:val="ListBullet"/>
      </w:pPr>
      <w:r>
        <w:t>[  ] Retention by line</w:t>
      </w:r>
    </w:p>
    <w:p>
      <w:pPr>
        <w:pStyle w:val="ListBullet"/>
      </w:pPr>
      <w:r>
        <w:t>[  ] Book by line of business and top accounts</w:t>
      </w:r>
    </w:p>
    <w:p>
      <w:pPr>
        <w:pStyle w:val="ListBullet"/>
      </w:pPr>
      <w:r>
        <w:t>[  ] Carrier contracts</w:t>
      </w:r>
    </w:p>
    <w:p>
      <w:pPr>
        <w:pStyle w:val="ListBullet"/>
      </w:pPr>
      <w:r>
        <w:t>[  ] Producer agreements and non-solicits</w:t>
      </w:r>
    </w:p>
    <w:p>
      <w:pPr>
        <w:pStyle w:val="ListBullet"/>
      </w:pPr>
      <w:r>
        <w:t>[  ] Agency management system reports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Small-agency deals often include retention-based payments; PE-backed brokers pay cash plus earn-outs and equity.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Book sales can close quickly; agencies moving to a new owner need carrier approval and licensing in place first.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