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MEDICAL PRACTICE SALE-PREP CHECKLIST</w:t>
      </w:r>
    </w:p>
    <w:p>
      <w:r>
        <w:rPr>
          <w:i/>
        </w:rPr>
        <w:t>Licenses, documents and fixes buyers look for when you sell a medical practice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medical practice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medical practices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Corporate practice of medicine (California example)</w:t>
            </w:r>
          </w:p>
        </w:tc>
        <w:tc>
          <w:tcPr>
            <w:tcW w:type="dxa" w:w="6624"/>
          </w:tcPr>
          <w:p>
            <w:r>
              <w:t>California law gives corporations no professional rights in medicine (B&amp;P Code 2400), so lay buyers use management-services structures with a physician-owned practice entity.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Medicare enrollment</w:t>
            </w:r>
          </w:p>
        </w:tc>
        <w:tc>
          <w:tcPr>
            <w:tcW w:type="dxa" w:w="6624"/>
          </w:tcPr>
          <w:p>
            <w:r>
              <w:t>On a change of ownership, the parties must file enrollment updates; CMS may deactivate billing privileges if the new owner does not submit an application within 30 days (42 CFR 424.550).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DEA registration</w:t>
            </w:r>
          </w:p>
        </w:tc>
        <w:tc>
          <w:tcPr>
            <w:tcW w:type="dxa" w:w="6624"/>
          </w:tcPr>
          <w:p>
            <w:r>
              <w:t>Not transferable without DEA's written consent (21 CFR 1301.52).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Patient records</w:t>
            </w:r>
          </w:p>
        </w:tc>
        <w:tc>
          <w:tcPr>
            <w:tcW w:type="dxa" w:w="6624"/>
          </w:tcPr>
          <w:p>
            <w:r>
              <w:t>HIPAA permits disclosures for the sale of a practice to another covered entity and related due diligence as health care operations.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Collections by provider and payer</w:t>
      </w:r>
    </w:p>
    <w:p>
      <w:pPr>
        <w:pStyle w:val="ListBullet"/>
      </w:pPr>
      <w:r>
        <w:t>[  ] Payer contracts</w:t>
      </w:r>
    </w:p>
    <w:p>
      <w:pPr>
        <w:pStyle w:val="ListBullet"/>
      </w:pPr>
      <w:r>
        <w:t>[  ] Coding and billing audit results</w:t>
      </w:r>
    </w:p>
    <w:p>
      <w:pPr>
        <w:pStyle w:val="ListBullet"/>
      </w:pPr>
      <w:r>
        <w:t>[  ] Leases and equipment</w:t>
      </w:r>
    </w:p>
    <w:p>
      <w:pPr>
        <w:pStyle w:val="ListBullet"/>
      </w:pPr>
      <w:r>
        <w:t>[  ] Provider employment agreements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Physician buyers often pay over time or buy in gradually; health systems and PE groups pay cash within fair-market-value limits plus employment agreements.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Allow extra time for payer enrollment and credentialing in addition to a normal 6-12 month sale process.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