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3A4D"/>
          <w:sz w:val="32"/>
        </w:rPr>
        <w:t>PEST CONTROL BUSINESS SALE-PREP CHECKLIST</w:t>
      </w:r>
    </w:p>
    <w:p>
      <w:r>
        <w:rPr>
          <w:i/>
        </w:rPr>
        <w:t>Licenses, documents and fixes buyers look for when you sell a pest control business</w:t>
      </w:r>
    </w:p>
    <w:p>
      <w:pPr>
        <w:spacing w:before="160"/>
      </w:pPr>
      <w:r>
        <w:rPr>
          <w:b/>
          <w:color w:val="1F3A4D"/>
          <w:sz w:val="23"/>
        </w:rPr>
        <w:t>Know your number</w:t>
      </w:r>
    </w:p>
    <w:p>
      <w:pPr>
        <w:pStyle w:val="ListBullet"/>
      </w:pPr>
      <w:r>
        <w:t>[  ] Recast earnings to SDE (and adjusted EBITDA if above about $1M of earnings)</w:t>
      </w:r>
    </w:p>
    <w:p>
      <w:pPr>
        <w:pStyle w:val="ListBullet"/>
      </w:pPr>
      <w:r>
        <w:t>[  ] Run the pest control business valuation calculator and save the brief</w:t>
      </w:r>
    </w:p>
    <w:p>
      <w:pPr>
        <w:pStyle w:val="ListBullet"/>
      </w:pPr>
      <w:r>
        <w:t>[  ] Estimate after-tax proceeds under asset vs stock sale</w:t>
      </w:r>
    </w:p>
    <w:p>
      <w:pPr>
        <w:spacing w:before="160"/>
      </w:pPr>
      <w:r>
        <w:rPr>
          <w:b/>
          <w:color w:val="1F3A4D"/>
          <w:sz w:val="23"/>
        </w:rPr>
        <w:t>Licenses and transfer issues for pest control businesses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828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484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6624"/>
          </w:tcPr>
          <w:p>
            <w:r>
              <w:rPr>
                <w:b/>
              </w:rPr>
              <w:t>What to know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Business license on transfer (Florida example)</w:t>
            </w:r>
          </w:p>
        </w:tc>
        <w:tc>
          <w:tcPr>
            <w:tcW w:type="dxa" w:w="6624"/>
          </w:tcPr>
          <w:p>
            <w:r>
              <w:t>Florida requires a pest control business license application on transfer of ownership, and the business must operate under a certified operator in charge certified in its categories (F.S. 482.071).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Applicator certifications</w:t>
            </w:r>
          </w:p>
        </w:tc>
        <w:tc>
          <w:tcPr>
            <w:tcW w:type="dxa" w:w="6624"/>
          </w:tcPr>
          <w:p>
            <w:r>
              <w:t>Operator and applicator certifications are personal. A buyer needs a certified operator in place for each location.</w:t>
            </w:r>
          </w:p>
        </w:tc>
      </w:tr>
      <w:tr>
        <w:tc>
          <w:tcPr>
            <w:tcW w:type="dxa" w:w="828"/>
          </w:tcPr>
          <w:p>
            <w:r>
              <w:t>[  ]</w:t>
            </w:r>
          </w:p>
        </w:tc>
        <w:tc>
          <w:tcPr>
            <w:tcW w:type="dxa" w:w="2484"/>
          </w:tcPr>
          <w:p>
            <w:r>
              <w:t>Customer contracts</w:t>
            </w:r>
          </w:p>
        </w:tc>
        <w:tc>
          <w:tcPr>
            <w:tcW w:type="dxa" w:w="6624"/>
          </w:tcPr>
          <w:p>
            <w:r>
              <w:t>Service agreements that auto-renew and can be assigned carry the most value; review assignment language before listing.</w:t>
            </w:r>
          </w:p>
        </w:tc>
      </w:tr>
    </w:tbl>
    <w:p/>
    <w:p>
      <w:pPr>
        <w:spacing w:before="160"/>
      </w:pPr>
      <w:r>
        <w:rPr>
          <w:b/>
          <w:color w:val="1F3A4D"/>
          <w:sz w:val="23"/>
        </w:rPr>
        <w:t>Documents buyers will ask for</w:t>
      </w:r>
    </w:p>
    <w:p>
      <w:pPr>
        <w:pStyle w:val="ListBullet"/>
      </w:pPr>
      <w:r>
        <w:t>[  ] Customer list with service frequency, price and start date</w:t>
      </w:r>
    </w:p>
    <w:p>
      <w:pPr>
        <w:pStyle w:val="ListBullet"/>
      </w:pPr>
      <w:r>
        <w:t>[  ] Recurring vs one-time revenue by month</w:t>
      </w:r>
    </w:p>
    <w:p>
      <w:pPr>
        <w:pStyle w:val="ListBullet"/>
      </w:pPr>
      <w:r>
        <w:t>[  ] Cancellation/churn history</w:t>
      </w:r>
    </w:p>
    <w:p>
      <w:pPr>
        <w:pStyle w:val="ListBullet"/>
      </w:pPr>
      <w:r>
        <w:t>[  ] Technician roster and certifications</w:t>
      </w:r>
    </w:p>
    <w:p>
      <w:pPr>
        <w:pStyle w:val="ListBullet"/>
      </w:pPr>
      <w:r>
        <w:t>[  ] Route maps and density</w:t>
      </w:r>
    </w:p>
    <w:p>
      <w:pPr>
        <w:pStyle w:val="ListBullet"/>
      </w:pPr>
      <w:r>
        <w:t>[  ] Chemical inventory and vehicle list</w:t>
      </w:r>
    </w:p>
    <w:p>
      <w:pPr>
        <w:spacing w:before="160"/>
      </w:pPr>
      <w:r>
        <w:rPr>
          <w:b/>
          <w:color w:val="1F3A4D"/>
          <w:sz w:val="23"/>
        </w:rPr>
        <w:t>Fix what buyers discount</w:t>
      </w:r>
    </w:p>
    <w:p>
      <w:pPr>
        <w:pStyle w:val="ListBullet"/>
      </w:pPr>
      <w:r>
        <w:t>[  ] Owner dependence: document processes, delegate selling and scheduling, cut your hours in the work</w:t>
      </w:r>
    </w:p>
    <w:p>
      <w:pPr>
        <w:pStyle w:val="ListBullet"/>
      </w:pPr>
      <w:r>
        <w:t>[  ] Customer concentration: no single customer above about 15% of revenue</w:t>
      </w:r>
    </w:p>
    <w:p>
      <w:pPr>
        <w:pStyle w:val="ListBullet"/>
      </w:pPr>
      <w:r>
        <w:t>[  ] Recurring revenue: convert one-off customers to agreements or plans</w:t>
      </w:r>
    </w:p>
    <w:p>
      <w:pPr>
        <w:pStyle w:val="ListBullet"/>
      </w:pPr>
      <w:r>
        <w:t>[  ] Clean books: separate personal expenses, reconcile monthly, keep 3 years of tax returns ready</w:t>
      </w:r>
    </w:p>
    <w:p>
      <w:pPr>
        <w:spacing w:before="160"/>
      </w:pPr>
      <w:r>
        <w:rPr>
          <w:b/>
          <w:color w:val="1F3A4D"/>
          <w:sz w:val="23"/>
        </w:rPr>
        <w:t>Deal structure notes</w:t>
      </w:r>
    </w:p>
    <w:p>
      <w:r>
        <w:t>Route and small-company deals often include a retention holdback or price adjustment if accounts cancel in the first months. Strategics usually pay cash at close for established books.</w:t>
      </w:r>
    </w:p>
    <w:p>
      <w:pPr>
        <w:spacing w:before="160"/>
      </w:pPr>
      <w:r>
        <w:rPr>
          <w:b/>
          <w:color w:val="1F3A4D"/>
          <w:sz w:val="23"/>
        </w:rPr>
        <w:t>Timeline</w:t>
      </w:r>
    </w:p>
    <w:p>
      <w:r>
        <w:t>Route sales between competitors can close in a few months; a full company sale to a strategic or platform usually takes longer because of licensing and route diligence.</w:t>
      </w:r>
    </w:p>
    <w:p>
      <w:r>
        <w:rPr>
          <w:i/>
          <w:sz w:val="18"/>
        </w:rPr>
        <w:t>Rules vary by state; confirm licensing and transfer requirements with counsel. General information, not legal or tax advice.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TradeExit Guide (tradeexitguide.com).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