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INDEPENDENT PHARMACY SALE-PREP CHECKLIST</w:t>
      </w:r>
    </w:p>
    <w:p>
      <w:r>
        <w:rPr>
          <w:i/>
        </w:rPr>
        <w:t>Licenses, documents and fixes buyers look for when you sell a pharmacy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pharmacy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pharmacies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pharmacy license</w:t>
            </w:r>
          </w:p>
        </w:tc>
        <w:tc>
          <w:tcPr>
            <w:tcW w:type="dxa" w:w="6624"/>
          </w:tcPr>
          <w:p>
            <w:r>
              <w:t>Pharmacy licenses are generally not transferable. In Texas a change of ownership requires an application within 10 days of the change, results in a new license number, and requires a sales contract.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DEA registration and controlled-substance inventory</w:t>
            </w:r>
          </w:p>
        </w:tc>
        <w:tc>
          <w:tcPr>
            <w:tcW w:type="dxa" w:w="6624"/>
          </w:tcPr>
          <w:p>
            <w:r>
              <w:t>A DEA registration cannot be transferred without DEA's written consent; controlled-substance inventory and records transfer under DEA procedures (21 CFR 1301.52).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PBM and payer contracts</w:t>
            </w:r>
          </w:p>
        </w:tc>
        <w:tc>
          <w:tcPr>
            <w:tcW w:type="dxa" w:w="6624"/>
          </w:tcPr>
          <w:p>
            <w:r>
              <w:t>Network contracts and credentialing (NCPDP, PBMs, Medicare Part D) often have to be re-established for a new owner, which can interrupt claims.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Script counts and gross margin by payer</w:t>
      </w:r>
    </w:p>
    <w:p>
      <w:pPr>
        <w:pStyle w:val="ListBullet"/>
      </w:pPr>
      <w:r>
        <w:t>[  ] DIR fee history</w:t>
      </w:r>
    </w:p>
    <w:p>
      <w:pPr>
        <w:pStyle w:val="ListBullet"/>
      </w:pPr>
      <w:r>
        <w:t>[  ] Inventory report</w:t>
      </w:r>
    </w:p>
    <w:p>
      <w:pPr>
        <w:pStyle w:val="ListBullet"/>
      </w:pPr>
      <w:r>
        <w:t>[  ] Controlled-substance records</w:t>
      </w:r>
    </w:p>
    <w:p>
      <w:pPr>
        <w:pStyle w:val="ListBullet"/>
      </w:pPr>
      <w:r>
        <w:t>[  ] Lease</w:t>
      </w:r>
    </w:p>
    <w:p>
      <w:pPr>
        <w:pStyle w:val="ListBullet"/>
      </w:pPr>
      <w:r>
        <w:t>[  ] Staff roster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Buyers pay for goodwill/files plus inventory at cost counted at closing; chains sometimes buy only the prescription files and close the store.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A new state pharmacy permit can take months; Texas estimates about 90 days, including inspection, for a change-of-ownership license.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