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PLUMBING BUSINESS SALE-PREP CHECKLIST</w:t>
      </w:r>
    </w:p>
    <w:p>
      <w:r>
        <w:rPr>
          <w:i/>
        </w:rPr>
        <w:t>Licenses, documents and fixes buyers look for when you sell a plumbing business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plumbing business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plumbing businesses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State contractor license</w:t>
            </w:r>
          </w:p>
        </w:tc>
        <w:tc>
          <w:tcPr>
            <w:tcW w:type="dxa" w:w="6624"/>
          </w:tcPr>
          <w:p>
            <w:r>
              <w:t>Usually tied to the entity and a qualifying individual. In California a license cannot be transferred to a new entity; a new owner or entity applies for its own license, posts new bonds and shows workers' comp coverage.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Qualifier / master license holder</w:t>
            </w:r>
          </w:p>
        </w:tc>
        <w:tc>
          <w:tcPr>
            <w:tcW w:type="dxa" w:w="6624"/>
          </w:tcPr>
          <w:p>
            <w:r>
              <w:t>If you are the qualifier (RMO/RME, master plumber or electrician), the license qualification leaves when you do. The buyer needs a qualified person in place before closing, or you agree to stay on for a transition.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Backflow, gas and medical-gas certifications</w:t>
            </w:r>
          </w:p>
        </w:tc>
        <w:tc>
          <w:tcPr>
            <w:tcW w:type="dxa" w:w="6624"/>
          </w:tcPr>
          <w:p>
            <w:r>
              <w:t>Specialty certifications are personal to the technician. Inventory who holds which credential before a buyer asks.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</w:t>
      </w:r>
    </w:p>
    <w:p>
      <w:pPr>
        <w:pStyle w:val="ListBullet"/>
      </w:pPr>
      <w:r>
        <w:t>[  ] Revenue by job type (service, drain/sewer, water heaters, new construction)</w:t>
      </w:r>
    </w:p>
    <w:p>
      <w:pPr>
        <w:pStyle w:val="ListBullet"/>
      </w:pPr>
      <w:r>
        <w:t>[  ] Service agreement count and terms</w:t>
      </w:r>
    </w:p>
    <w:p>
      <w:pPr>
        <w:pStyle w:val="ListBullet"/>
      </w:pPr>
      <w:r>
        <w:t>[  ] Technician roster and licenses</w:t>
      </w:r>
    </w:p>
    <w:p>
      <w:pPr>
        <w:pStyle w:val="ListBullet"/>
      </w:pPr>
      <w:r>
        <w:t>[  ] Vehicle and equipment list</w:t>
      </w:r>
    </w:p>
    <w:p>
      <w:pPr>
        <w:pStyle w:val="ListBullet"/>
      </w:pPr>
      <w:r>
        <w:t>[  ] Top customer list and concentration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SBA-financed individual buyers are common for smaller shops; seller notes must be on full standby to count toward the SBA equity injection. Platforms pay cash plus rollover.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Plan for 6-10 months after going to market for a Main Street sale (IBBA Market Pulse Q2 2026).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