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3A4D"/>
          <w:sz w:val="32"/>
        </w:rPr>
        <w:t>RESTAURANT SALE-PREP CHECKLIST</w:t>
      </w:r>
    </w:p>
    <w:p>
      <w:r>
        <w:rPr>
          <w:i/>
        </w:rPr>
        <w:t>Licenses, documents and fixes buyers look for when you sell a restaurant</w:t>
      </w:r>
    </w:p>
    <w:p>
      <w:pPr>
        <w:spacing w:before="160"/>
      </w:pPr>
      <w:r>
        <w:rPr>
          <w:b/>
          <w:color w:val="1F3A4D"/>
          <w:sz w:val="23"/>
        </w:rPr>
        <w:t>Know your number</w:t>
      </w:r>
    </w:p>
    <w:p>
      <w:pPr>
        <w:pStyle w:val="ListBullet"/>
      </w:pPr>
      <w:r>
        <w:t>[  ] Recast earnings to SDE (and adjusted EBITDA if above about $1M of earnings)</w:t>
      </w:r>
    </w:p>
    <w:p>
      <w:pPr>
        <w:pStyle w:val="ListBullet"/>
      </w:pPr>
      <w:r>
        <w:t>[  ] Run the restaurant valuation calculator and save the brief</w:t>
      </w:r>
    </w:p>
    <w:p>
      <w:pPr>
        <w:pStyle w:val="ListBullet"/>
      </w:pPr>
      <w:r>
        <w:t>[  ] Estimate after-tax proceeds under asset vs stock sale</w:t>
      </w:r>
    </w:p>
    <w:p>
      <w:pPr>
        <w:spacing w:before="160"/>
      </w:pPr>
      <w:r>
        <w:rPr>
          <w:b/>
          <w:color w:val="1F3A4D"/>
          <w:sz w:val="23"/>
        </w:rPr>
        <w:t>Licenses and transfer issues for restaurants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828"/>
          </w:tcPr>
          <w:p>
            <w:r>
              <w:rPr>
                <w:b/>
              </w:rPr>
              <w:t>Done</w:t>
            </w:r>
          </w:p>
        </w:tc>
        <w:tc>
          <w:tcPr>
            <w:tcW w:type="dxa" w:w="2484"/>
          </w:tcPr>
          <w:p>
            <w:r>
              <w:rPr>
                <w:b/>
              </w:rPr>
              <w:t>Issue</w:t>
            </w:r>
          </w:p>
        </w:tc>
        <w:tc>
          <w:tcPr>
            <w:tcW w:type="dxa" w:w="6624"/>
          </w:tcPr>
          <w:p>
            <w:r>
              <w:rPr>
                <w:b/>
              </w:rPr>
              <w:t>What to know</w:t>
            </w:r>
          </w:p>
        </w:tc>
      </w:tr>
      <w:tr>
        <w:tc>
          <w:tcPr>
            <w:tcW w:type="dxa" w:w="828"/>
          </w:tcPr>
          <w:p>
            <w:r>
              <w:t>[  ]</w:t>
            </w:r>
          </w:p>
        </w:tc>
        <w:tc>
          <w:tcPr>
            <w:tcW w:type="dxa" w:w="2484"/>
          </w:tcPr>
          <w:p>
            <w:r>
              <w:t>Liquor license transfer (California example)</w:t>
            </w:r>
          </w:p>
        </w:tc>
        <w:tc>
          <w:tcPr>
            <w:tcW w:type="dxa" w:w="6624"/>
          </w:tcPr>
          <w:p>
            <w:r>
              <w:t>California requires an escrow with a neutral holder before filing a liquor license transfer application where there is a purchase price; the buyer deposits the full price, and the escrow pays the seller's bona fide creditors who file claims before ABC approves the transfer (B&amp;P Code 24074).</w:t>
            </w:r>
          </w:p>
        </w:tc>
      </w:tr>
      <w:tr>
        <w:tc>
          <w:tcPr>
            <w:tcW w:type="dxa" w:w="828"/>
          </w:tcPr>
          <w:p>
            <w:r>
              <w:t>[  ]</w:t>
            </w:r>
          </w:p>
        </w:tc>
        <w:tc>
          <w:tcPr>
            <w:tcW w:type="dxa" w:w="2484"/>
          </w:tcPr>
          <w:p>
            <w:r>
              <w:t>Lease assignment</w:t>
            </w:r>
          </w:p>
        </w:tc>
        <w:tc>
          <w:tcPr>
            <w:tcW w:type="dxa" w:w="6624"/>
          </w:tcPr>
          <w:p>
            <w:r>
              <w:t>Most restaurant leases require landlord consent to assign, and landlords often ask for the buyer's financials and a personal guarantee. Start this early; it is the most common deal-killer.</w:t>
            </w:r>
          </w:p>
        </w:tc>
      </w:tr>
      <w:tr>
        <w:tc>
          <w:tcPr>
            <w:tcW w:type="dxa" w:w="828"/>
          </w:tcPr>
          <w:p>
            <w:r>
              <w:t>[  ]</w:t>
            </w:r>
          </w:p>
        </w:tc>
        <w:tc>
          <w:tcPr>
            <w:tcW w:type="dxa" w:w="2484"/>
          </w:tcPr>
          <w:p>
            <w:r>
              <w:t>Health permit and inspections</w:t>
            </w:r>
          </w:p>
        </w:tc>
        <w:tc>
          <w:tcPr>
            <w:tcW w:type="dxa" w:w="6624"/>
          </w:tcPr>
          <w:p>
            <w:r>
              <w:t>Food service permits are generally issued to an operator, so the buyer typically applies for its own permit and may face a pre-opening inspection. Check your county health department's change-of-ownership rules.</w:t>
            </w:r>
          </w:p>
        </w:tc>
      </w:tr>
      <w:tr>
        <w:tc>
          <w:tcPr>
            <w:tcW w:type="dxa" w:w="828"/>
          </w:tcPr>
          <w:p>
            <w:r>
              <w:t>[  ]</w:t>
            </w:r>
          </w:p>
        </w:tc>
        <w:tc>
          <w:tcPr>
            <w:tcW w:type="dxa" w:w="2484"/>
          </w:tcPr>
          <w:p>
            <w:r>
              <w:t>Franchise units</w:t>
            </w:r>
          </w:p>
        </w:tc>
        <w:tc>
          <w:tcPr>
            <w:tcW w:type="dxa" w:w="6624"/>
          </w:tcPr>
          <w:p>
            <w:r>
              <w:t>A franchised restaurant cannot be sold without the franchisor's approval of the buyer under the franchise agreement; expect a transfer fee, training requirements and possibly a remodel.</w:t>
            </w:r>
          </w:p>
        </w:tc>
      </w:tr>
    </w:tbl>
    <w:p/>
    <w:p>
      <w:pPr>
        <w:spacing w:before="160"/>
      </w:pPr>
      <w:r>
        <w:rPr>
          <w:b/>
          <w:color w:val="1F3A4D"/>
          <w:sz w:val="23"/>
        </w:rPr>
        <w:t>Documents buyers will ask for</w:t>
      </w:r>
    </w:p>
    <w:p>
      <w:pPr>
        <w:pStyle w:val="ListBullet"/>
      </w:pPr>
      <w:r>
        <w:t>[  ] Three years of tax returns and P&amp;Ls</w:t>
      </w:r>
    </w:p>
    <w:p>
      <w:pPr>
        <w:pStyle w:val="ListBullet"/>
      </w:pPr>
      <w:r>
        <w:t>[  ] Twelve months of POS sales reports</w:t>
      </w:r>
    </w:p>
    <w:p>
      <w:pPr>
        <w:pStyle w:val="ListBullet"/>
      </w:pPr>
      <w:r>
        <w:t>[  ] Lease and all amendments</w:t>
      </w:r>
    </w:p>
    <w:p>
      <w:pPr>
        <w:pStyle w:val="ListBullet"/>
      </w:pPr>
      <w:r>
        <w:t>[  ] Liquor license and permits</w:t>
      </w:r>
    </w:p>
    <w:p>
      <w:pPr>
        <w:pStyle w:val="ListBullet"/>
      </w:pPr>
      <w:r>
        <w:t>[  ] Equipment list with age and condition</w:t>
      </w:r>
    </w:p>
    <w:p>
      <w:pPr>
        <w:pStyle w:val="ListBullet"/>
      </w:pPr>
      <w:r>
        <w:t>[  ] Staff roster, pay rates and tenure (no names needed early)</w:t>
      </w:r>
    </w:p>
    <w:p>
      <w:pPr>
        <w:pStyle w:val="ListBullet"/>
      </w:pPr>
      <w:r>
        <w:t>[  ] Vendor contracts and franchise agreement if applicable</w:t>
      </w:r>
    </w:p>
    <w:p>
      <w:pPr>
        <w:pStyle w:val="ListBullet"/>
      </w:pPr>
      <w:r>
        <w:t>[  ] Recent health inspection reports</w:t>
      </w:r>
    </w:p>
    <w:p>
      <w:pPr>
        <w:spacing w:before="160"/>
      </w:pPr>
      <w:r>
        <w:rPr>
          <w:b/>
          <w:color w:val="1F3A4D"/>
          <w:sz w:val="23"/>
        </w:rPr>
        <w:t>Fix what buyers discount</w:t>
      </w:r>
    </w:p>
    <w:p>
      <w:pPr>
        <w:pStyle w:val="ListBullet"/>
      </w:pPr>
      <w:r>
        <w:t>[  ] Owner dependence: document processes, delegate selling and scheduling, cut your hours in the work</w:t>
      </w:r>
    </w:p>
    <w:p>
      <w:pPr>
        <w:pStyle w:val="ListBullet"/>
      </w:pPr>
      <w:r>
        <w:t>[  ] Customer concentration: no single customer above about 15% of revenue</w:t>
      </w:r>
    </w:p>
    <w:p>
      <w:pPr>
        <w:pStyle w:val="ListBullet"/>
      </w:pPr>
      <w:r>
        <w:t>[  ] Recurring revenue: convert one-off customers to agreements or plans</w:t>
      </w:r>
    </w:p>
    <w:p>
      <w:pPr>
        <w:pStyle w:val="ListBullet"/>
      </w:pPr>
      <w:r>
        <w:t>[  ] Clean books: separate personal expenses, reconcile monthly, keep 3 years of tax returns ready</w:t>
      </w:r>
    </w:p>
    <w:p>
      <w:pPr>
        <w:spacing w:before="160"/>
      </w:pPr>
      <w:r>
        <w:rPr>
          <w:b/>
          <w:color w:val="1F3A4D"/>
          <w:sz w:val="23"/>
        </w:rPr>
        <w:t>Deal structure notes</w:t>
      </w:r>
    </w:p>
    <w:p>
      <w:r>
        <w:t>Most restaurant sales are asset sales paid mostly in cash at close from an SBA loan plus buyer equity, sometimes with a seller note; inventory is added at closing at cost.</w:t>
      </w:r>
    </w:p>
    <w:p>
      <w:pPr>
        <w:spacing w:before="160"/>
      </w:pPr>
      <w:r>
        <w:rPr>
          <w:b/>
          <w:color w:val="1F3A4D"/>
          <w:sz w:val="23"/>
        </w:rPr>
        <w:t>Timeline</w:t>
      </w:r>
    </w:p>
    <w:p>
      <w:r>
        <w:t>Plan for 6-10 months from preparation to close; the lease assignment and any liquor license transfer usually set the closing date.</w:t>
      </w:r>
    </w:p>
    <w:p>
      <w:r>
        <w:rPr>
          <w:i/>
          <w:sz w:val="18"/>
        </w:rPr>
        <w:t>Rules vary by state; confirm licensing and transfer requirements with counsel. General information, not legal or tax advice.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Free template from TradeExit Guide (tradeexitguide.com). Edit freely for your business.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