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ROOFING COMPANY SALE-PREP CHECKLIST</w:t>
      </w:r>
    </w:p>
    <w:p>
      <w:r>
        <w:rPr>
          <w:i/>
        </w:rPr>
        <w:t>Licenses, documents and fixes buyers look for when you sell a roofing company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roofing company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roofing companies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contractor license</w:t>
            </w:r>
          </w:p>
        </w:tc>
        <w:tc>
          <w:tcPr>
            <w:tcW w:type="dxa" w:w="6624"/>
          </w:tcPr>
          <w:p>
            <w:r>
              <w:t>Usually tied to the entity and a qualifying individual. In California a license cannot be transferred to a new entity; a new owner or entity applies for its own license, posts new bonds and shows workers' comp coverage.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Qualifier / master license holder</w:t>
            </w:r>
          </w:p>
        </w:tc>
        <w:tc>
          <w:tcPr>
            <w:tcW w:type="dxa" w:w="6624"/>
          </w:tcPr>
          <w:p>
            <w:r>
              <w:t>If you are the qualifier (RMO/RME, master plumber or electrician), the license qualification leaves when you do. The buyer needs a qualified person in place before closing, or you agree to stay on for a transition.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Warranty obligations</w:t>
            </w:r>
          </w:p>
        </w:tc>
        <w:tc>
          <w:tcPr>
            <w:tcW w:type="dxa" w:w="6624"/>
          </w:tcPr>
          <w:p>
            <w:r>
              <w:t>Workmanship warranties on past jobs stay with the entity in a stock sale; in an asset sale the purchase agreement decides who honors them.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Revenue split: retail reroof, repair, storm/insurance, commercial</w:t>
      </w:r>
    </w:p>
    <w:p>
      <w:pPr>
        <w:pStyle w:val="ListBullet"/>
      </w:pPr>
      <w:r>
        <w:t>[  ] Backlog and pipeline</w:t>
      </w:r>
    </w:p>
    <w:p>
      <w:pPr>
        <w:pStyle w:val="ListBullet"/>
      </w:pPr>
      <w:r>
        <w:t>[  ] Crew structure (W-2 vs subcontract)</w:t>
      </w:r>
    </w:p>
    <w:p>
      <w:pPr>
        <w:pStyle w:val="ListBullet"/>
      </w:pPr>
      <w:r>
        <w:t>[  ] Warranty claims history</w:t>
      </w:r>
    </w:p>
    <w:p>
      <w:pPr>
        <w:pStyle w:val="ListBullet"/>
      </w:pPr>
      <w:r>
        <w:t>[  ] Licenses, insurance and manufacturer certifications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Platforms often pay cash plus rollover equity and may use earn-outs tied to retail revenue. Individual buyers rely on SBA loans and seller notes.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Main Street sales typically take 6-10 months after going to market (IBBA Market Pulse Q2 2026).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