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VETERINARY PRACTICE SALE-PREP CHECKLIST</w:t>
      </w:r>
    </w:p>
    <w:p>
      <w:r>
        <w:rPr>
          <w:i/>
        </w:rPr>
        <w:t>Licenses, documents and fixes buyers look for when you sell a veterinary practice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veterinary practice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veterinary practices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Premises registration (California example)</w:t>
            </w:r>
          </w:p>
        </w:tc>
        <w:tc>
          <w:tcPr>
            <w:tcW w:type="dxa" w:w="6624"/>
          </w:tcPr>
          <w:p>
            <w:r>
              <w:t>California requires a registered premises and a licensee manager; the registration is not transferable, and a change of ownership must be reported to the Veterinary Medical Board within 30 days.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DEA registration</w:t>
            </w:r>
          </w:p>
        </w:tc>
        <w:tc>
          <w:tcPr>
            <w:tcW w:type="dxa" w:w="6624"/>
          </w:tcPr>
          <w:p>
            <w:r>
              <w:t>Not transferable without DEA's written consent (21 CFR 1301.52). The buyer or managing veterinarian needs a registration for the location.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Ownership rules</w:t>
            </w:r>
          </w:p>
        </w:tc>
        <w:tc>
          <w:tcPr>
            <w:tcW w:type="dxa" w:w="6624"/>
          </w:tcPr>
          <w:p>
            <w:r>
              <w:t>Some states limit who can own a veterinary practice or control medical decisions; consolidators structure around these rules. Confirm your state's rule early.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financials and tax returns</w:t>
      </w:r>
    </w:p>
    <w:p>
      <w:pPr>
        <w:pStyle w:val="ListBullet"/>
      </w:pPr>
      <w:r>
        <w:t>[  ] Revenue by doctor and by service line</w:t>
      </w:r>
    </w:p>
    <w:p>
      <w:pPr>
        <w:pStyle w:val="ListBullet"/>
      </w:pPr>
      <w:r>
        <w:t>[  ] Active client and patient counts</w:t>
      </w:r>
    </w:p>
    <w:p>
      <w:pPr>
        <w:pStyle w:val="ListBullet"/>
      </w:pPr>
      <w:r>
        <w:t>[  ] Controlled-substance logs</w:t>
      </w:r>
    </w:p>
    <w:p>
      <w:pPr>
        <w:pStyle w:val="ListBullet"/>
      </w:pPr>
      <w:r>
        <w:t>[  ] Lease or real estate documents</w:t>
      </w:r>
    </w:p>
    <w:p>
      <w:pPr>
        <w:pStyle w:val="ListBullet"/>
      </w:pPr>
      <w:r>
        <w:t>[  ] Equipment list</w:t>
      </w:r>
    </w:p>
    <w:p>
      <w:pPr>
        <w:pStyle w:val="ListBullet"/>
      </w:pPr>
      <w:r>
        <w:t>[  ] Associate employment agreements and non-competes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Veterinarian buyers use practice lenders or SBA loans. Consolidators pay cash plus rollover equity and usually require the seller to keep practicing for a period.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6-12 months is typical for a veterinarian buyer; consolidator processes move faster to LOI but add diligence and a retention period.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